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08E3C" w14:textId="17E79AAB" w:rsidR="006E0950" w:rsidRDefault="006E0950" w:rsidP="006E0950">
      <w:pPr>
        <w:tabs>
          <w:tab w:val="center" w:pos="4536"/>
          <w:tab w:val="right" w:pos="8280"/>
          <w:tab w:val="right" w:pos="9781"/>
        </w:tabs>
        <w:ind w:right="-58"/>
        <w:rPr>
          <w:rFonts w:ascii="Arial" w:hAnsi="Arial" w:cs="Arial"/>
          <w:b/>
          <w:bCs/>
          <w:kern w:val="0"/>
          <w:sz w:val="28"/>
          <w:szCs w:val="20"/>
          <w:lang w:eastAsia="en-US"/>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r>
      <w:r w:rsidR="007970E9" w:rsidRPr="007970E9">
        <w:rPr>
          <w:rFonts w:ascii="Arial" w:hAnsi="Arial" w:cs="Arial"/>
          <w:b/>
          <w:bCs/>
          <w:sz w:val="28"/>
        </w:rPr>
        <w:t>R1-1702572</w:t>
      </w:r>
    </w:p>
    <w:p w14:paraId="779D7CD8" w14:textId="77777777" w:rsidR="006E0950" w:rsidRDefault="006E0950" w:rsidP="006E09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7CA6BE63"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70AE3">
        <w:rPr>
          <w:rFonts w:ascii="Arial" w:hAnsi="Arial" w:cs="Arial"/>
          <w:snapToGrid w:val="0"/>
          <w:sz w:val="24"/>
        </w:rPr>
        <w:t>7</w:t>
      </w:r>
      <w:r w:rsidR="00502895" w:rsidRPr="00502895">
        <w:rPr>
          <w:rFonts w:ascii="Arial" w:hAnsi="Arial" w:cs="Arial"/>
          <w:snapToGrid w:val="0"/>
          <w:sz w:val="24"/>
        </w:rPr>
        <w:t>.2.</w:t>
      </w:r>
      <w:r w:rsidR="003E63A4">
        <w:rPr>
          <w:rFonts w:ascii="Arial" w:hAnsi="Arial" w:cs="Arial"/>
          <w:snapToGrid w:val="0"/>
          <w:sz w:val="24"/>
        </w:rPr>
        <w:t>6</w:t>
      </w:r>
      <w:bookmarkStart w:id="2" w:name="_GoBack"/>
      <w:bookmarkEnd w:id="2"/>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30800299"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6E0950">
        <w:rPr>
          <w:rFonts w:ascii="Arial" w:hAnsi="Arial" w:cs="Arial"/>
          <w:snapToGrid w:val="0"/>
          <w:sz w:val="24"/>
        </w:rPr>
        <w:t>Modulation enhancements for PUSCH</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905BC7" w14:textId="0DFE30DA" w:rsidR="00502895"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w:t>
      </w:r>
      <w:r w:rsidR="006E0950">
        <w:rPr>
          <w:rFonts w:ascii="Times New Roman"/>
          <w:snapToGrid w:val="0"/>
          <w:kern w:val="0"/>
          <w:sz w:val="22"/>
          <w:szCs w:val="22"/>
          <w:lang w:val="en-GB"/>
        </w:rPr>
        <w:t>87</w:t>
      </w:r>
      <w:r>
        <w:rPr>
          <w:rFonts w:ascii="Times New Roman"/>
          <w:snapToGrid w:val="0"/>
          <w:kern w:val="0"/>
          <w:sz w:val="22"/>
          <w:szCs w:val="22"/>
          <w:lang w:val="en-GB"/>
        </w:rPr>
        <w:t xml:space="preserve"> </w:t>
      </w:r>
      <w:r w:rsidR="006E0950">
        <w:rPr>
          <w:rFonts w:ascii="Times New Roman"/>
          <w:snapToGrid w:val="0"/>
          <w:kern w:val="0"/>
          <w:sz w:val="22"/>
          <w:szCs w:val="22"/>
          <w:lang w:val="en-GB"/>
        </w:rPr>
        <w:t>the following agreements were reached regarding repetitions for PUSCH</w:t>
      </w:r>
    </w:p>
    <w:p w14:paraId="5F3B6821" w14:textId="77777777" w:rsidR="00502895" w:rsidRDefault="00502895" w:rsidP="00111B9A">
      <w:pPr>
        <w:overflowPunct w:val="0"/>
        <w:adjustRightInd w:val="0"/>
        <w:spacing w:after="120"/>
        <w:contextualSpacing/>
        <w:textAlignment w:val="baseline"/>
        <w:rPr>
          <w:rFonts w:ascii="Times New Roman"/>
          <w:snapToGrid w:val="0"/>
          <w:kern w:val="0"/>
          <w:sz w:val="22"/>
          <w:szCs w:val="22"/>
          <w:lang w:val="en-GB"/>
        </w:rPr>
      </w:pPr>
    </w:p>
    <w:p w14:paraId="4FD92893" w14:textId="77777777" w:rsidR="006E0950" w:rsidRPr="006E0950" w:rsidRDefault="006E0950" w:rsidP="006E0950">
      <w:pPr>
        <w:widowControl/>
        <w:numPr>
          <w:ilvl w:val="0"/>
          <w:numId w:val="12"/>
        </w:numPr>
        <w:wordWrap/>
        <w:autoSpaceDE/>
        <w:jc w:val="left"/>
        <w:rPr>
          <w:rFonts w:ascii="Times New Roman" w:eastAsia="MS Mincho"/>
          <w:kern w:val="0"/>
          <w:sz w:val="22"/>
          <w:szCs w:val="22"/>
          <w:lang w:eastAsia="ja-JP"/>
        </w:rPr>
      </w:pPr>
      <w:r w:rsidRPr="006E0950">
        <w:rPr>
          <w:rFonts w:ascii="Times New Roman" w:eastAsia="MS Mincho"/>
          <w:sz w:val="22"/>
          <w:szCs w:val="22"/>
        </w:rPr>
        <w:t>The maximum number of repetitions for PUSCH in the new PUSCH enhancement mode is 32</w:t>
      </w:r>
    </w:p>
    <w:p w14:paraId="58F6699D" w14:textId="77777777" w:rsidR="006E0950" w:rsidRPr="006E0950" w:rsidRDefault="006E0950" w:rsidP="006E0950">
      <w:pPr>
        <w:widowControl/>
        <w:numPr>
          <w:ilvl w:val="0"/>
          <w:numId w:val="12"/>
        </w:numPr>
        <w:wordWrap/>
        <w:autoSpaceDE/>
        <w:jc w:val="left"/>
        <w:rPr>
          <w:rFonts w:ascii="Times New Roman" w:eastAsia="MS Mincho"/>
          <w:sz w:val="22"/>
          <w:szCs w:val="22"/>
        </w:rPr>
      </w:pPr>
      <w:r w:rsidRPr="006E0950">
        <w:rPr>
          <w:rFonts w:ascii="Times New Roman" w:eastAsia="MS Mincho"/>
          <w:sz w:val="22"/>
          <w:szCs w:val="22"/>
        </w:rPr>
        <w:t>Number of PUSCH repetitions in the new PUSCH enhancement mode:</w:t>
      </w:r>
    </w:p>
    <w:p w14:paraId="003EA08E" w14:textId="77777777" w:rsidR="006E0950" w:rsidRPr="006E0950" w:rsidRDefault="006E0950" w:rsidP="006E0950">
      <w:pPr>
        <w:widowControl/>
        <w:numPr>
          <w:ilvl w:val="2"/>
          <w:numId w:val="13"/>
        </w:numPr>
        <w:wordWrap/>
        <w:autoSpaceDE/>
        <w:jc w:val="left"/>
        <w:rPr>
          <w:rFonts w:ascii="Times New Roman" w:eastAsia="MS Mincho"/>
          <w:sz w:val="22"/>
          <w:szCs w:val="22"/>
        </w:rPr>
      </w:pPr>
      <w:r w:rsidRPr="006E0950">
        <w:rPr>
          <w:rFonts w:ascii="Times New Roman" w:eastAsia="MS Mincho"/>
          <w:sz w:val="22"/>
          <w:szCs w:val="22"/>
        </w:rPr>
        <w:t xml:space="preserve">Number of repetitions {1, 2, 4, 8, </w:t>
      </w:r>
      <w:r w:rsidRPr="006E0950">
        <w:rPr>
          <w:rFonts w:ascii="Times New Roman" w:eastAsia="MS Mincho"/>
          <w:sz w:val="22"/>
          <w:szCs w:val="22"/>
          <w:u w:val="single"/>
        </w:rPr>
        <w:t>12</w:t>
      </w:r>
      <w:r w:rsidRPr="006E0950">
        <w:rPr>
          <w:rFonts w:ascii="Times New Roman" w:eastAsia="MS Mincho"/>
          <w:sz w:val="22"/>
          <w:szCs w:val="22"/>
        </w:rPr>
        <w:t xml:space="preserve">, 16, </w:t>
      </w:r>
      <w:r w:rsidRPr="006E0950">
        <w:rPr>
          <w:rFonts w:ascii="Times New Roman" w:eastAsia="MS Mincho"/>
          <w:sz w:val="22"/>
          <w:szCs w:val="22"/>
          <w:u w:val="single"/>
        </w:rPr>
        <w:t>24</w:t>
      </w:r>
      <w:r w:rsidRPr="006E0950">
        <w:rPr>
          <w:rFonts w:ascii="Times New Roman" w:eastAsia="MS Mincho"/>
          <w:sz w:val="22"/>
          <w:szCs w:val="22"/>
        </w:rPr>
        <w:t>, 32} indicated by a 3-bit DCI field</w:t>
      </w:r>
    </w:p>
    <w:p w14:paraId="7DA20601" w14:textId="77777777" w:rsidR="006E0950" w:rsidRPr="006E0950" w:rsidRDefault="006E0950" w:rsidP="006E0950">
      <w:pPr>
        <w:widowControl/>
        <w:numPr>
          <w:ilvl w:val="2"/>
          <w:numId w:val="13"/>
        </w:numPr>
        <w:wordWrap/>
        <w:autoSpaceDE/>
        <w:jc w:val="left"/>
        <w:rPr>
          <w:rFonts w:ascii="Times New Roman" w:eastAsia="MS Mincho"/>
          <w:sz w:val="22"/>
          <w:szCs w:val="22"/>
        </w:rPr>
      </w:pPr>
      <w:r w:rsidRPr="006E0950">
        <w:rPr>
          <w:rFonts w:ascii="Times New Roman" w:eastAsia="MS Mincho"/>
          <w:sz w:val="22"/>
          <w:szCs w:val="22"/>
        </w:rPr>
        <w:t xml:space="preserve">12 and 24 are new values compared to Rel-13 CE mode A, as agreed for </w:t>
      </w:r>
      <w:proofErr w:type="spellStart"/>
      <w:r w:rsidRPr="006E0950">
        <w:rPr>
          <w:rFonts w:ascii="Times New Roman" w:eastAsia="MS Mincho"/>
          <w:sz w:val="22"/>
          <w:szCs w:val="22"/>
        </w:rPr>
        <w:t>FeMTC</w:t>
      </w:r>
      <w:proofErr w:type="spellEnd"/>
    </w:p>
    <w:p w14:paraId="4BCD4AD3" w14:textId="77777777" w:rsidR="006E0950" w:rsidRPr="006E0950" w:rsidRDefault="006E0950" w:rsidP="006E0950">
      <w:pPr>
        <w:widowControl/>
        <w:numPr>
          <w:ilvl w:val="0"/>
          <w:numId w:val="12"/>
        </w:numPr>
        <w:wordWrap/>
        <w:autoSpaceDE/>
        <w:jc w:val="left"/>
        <w:rPr>
          <w:rFonts w:ascii="Times New Roman" w:eastAsia="MS Mincho"/>
          <w:sz w:val="22"/>
          <w:szCs w:val="22"/>
        </w:rPr>
      </w:pPr>
      <w:r w:rsidRPr="006E0950">
        <w:rPr>
          <w:rFonts w:ascii="Times New Roman" w:eastAsia="MS Mincho"/>
          <w:sz w:val="22"/>
          <w:szCs w:val="22"/>
        </w:rPr>
        <w:t>The TBS restriction of CE Mode A does not apply in the new PUSCH enhancement mode</w:t>
      </w:r>
    </w:p>
    <w:p w14:paraId="5C204B3E" w14:textId="77777777" w:rsidR="00502895" w:rsidRPr="00A90ADE" w:rsidRDefault="00502895" w:rsidP="00111B9A">
      <w:pPr>
        <w:overflowPunct w:val="0"/>
        <w:adjustRightInd w:val="0"/>
        <w:spacing w:after="120"/>
        <w:contextualSpacing/>
        <w:textAlignment w:val="baseline"/>
        <w:rPr>
          <w:rFonts w:ascii="Times New Roman"/>
          <w:snapToGrid w:val="0"/>
          <w:kern w:val="0"/>
          <w:sz w:val="22"/>
          <w:szCs w:val="22"/>
        </w:rPr>
      </w:pPr>
    </w:p>
    <w:p w14:paraId="4AF8E9B7" w14:textId="1C000087" w:rsid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contribution we present our views on </w:t>
      </w:r>
      <w:r w:rsidR="006E0950">
        <w:rPr>
          <w:rFonts w:ascii="Times New Roman"/>
          <w:snapToGrid w:val="0"/>
          <w:kern w:val="0"/>
          <w:sz w:val="22"/>
          <w:szCs w:val="22"/>
          <w:lang w:val="en-GB"/>
        </w:rPr>
        <w:t xml:space="preserve">modulation optimizations for </w:t>
      </w:r>
      <w:proofErr w:type="spellStart"/>
      <w:r w:rsidR="006E0950">
        <w:rPr>
          <w:rFonts w:ascii="Times New Roman"/>
          <w:snapToGrid w:val="0"/>
          <w:kern w:val="0"/>
          <w:sz w:val="22"/>
          <w:szCs w:val="22"/>
          <w:lang w:val="en-GB"/>
        </w:rPr>
        <w:t>VoLTE</w:t>
      </w:r>
      <w:proofErr w:type="spellEnd"/>
      <w:r w:rsidR="006E0950">
        <w:rPr>
          <w:rFonts w:ascii="Times New Roman"/>
          <w:snapToGrid w:val="0"/>
          <w:kern w:val="0"/>
          <w:sz w:val="22"/>
          <w:szCs w:val="22"/>
          <w:lang w:val="en-GB"/>
        </w:rPr>
        <w:t xml:space="preserve"> operation.</w:t>
      </w:r>
    </w:p>
    <w:p w14:paraId="7DE02163" w14:textId="77777777" w:rsidR="00DE2B48" w:rsidRPr="00111B9A" w:rsidRDefault="00DE2B48" w:rsidP="00111B9A">
      <w:pPr>
        <w:overflowPunct w:val="0"/>
        <w:adjustRightInd w:val="0"/>
        <w:spacing w:after="120"/>
        <w:contextualSpacing/>
        <w:textAlignment w:val="baseline"/>
        <w:rPr>
          <w:rFonts w:ascii="Times New Roman"/>
          <w:snapToGrid w:val="0"/>
          <w:kern w:val="0"/>
          <w:sz w:val="22"/>
          <w:szCs w:val="22"/>
          <w:lang w:val="en-GB"/>
        </w:rPr>
      </w:pPr>
    </w:p>
    <w:bookmarkEnd w:id="0"/>
    <w:bookmarkEnd w:id="1"/>
    <w:p w14:paraId="58BC299E" w14:textId="311944F9" w:rsidR="00502895" w:rsidRDefault="006E0950"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Modulation optimization for </w:t>
      </w:r>
      <w:proofErr w:type="spellStart"/>
      <w:r>
        <w:rPr>
          <w:rFonts w:ascii="Arial" w:hAnsi="Arial" w:cs="Arial"/>
          <w:lang w:val="en-US"/>
        </w:rPr>
        <w:t>VoLTE</w:t>
      </w:r>
      <w:proofErr w:type="spellEnd"/>
    </w:p>
    <w:p w14:paraId="33A7A997" w14:textId="436BAAD5" w:rsidR="006E0950" w:rsidRDefault="006E0950" w:rsidP="006E0950">
      <w:pPr>
        <w:pStyle w:val="LGTdoc1"/>
        <w:spacing w:beforeLines="0" w:before="120" w:after="220" w:afterAutospacing="0"/>
        <w:rPr>
          <w:b w:val="0"/>
          <w:sz w:val="22"/>
          <w:szCs w:val="22"/>
        </w:rPr>
      </w:pPr>
      <w:r>
        <w:rPr>
          <w:b w:val="0"/>
          <w:sz w:val="22"/>
          <w:szCs w:val="22"/>
        </w:rPr>
        <w:t xml:space="preserve">The LTE TBS table has a special entry for TBS 328 (Figure 1) that optimizes the PUSCH performance when using to repetitions (TTI bundling) or retransmissions by resorting to the use of QPSK modulation. In this case, the TBS is not self-decodable within a single </w:t>
      </w:r>
      <w:proofErr w:type="spellStart"/>
      <w:r>
        <w:rPr>
          <w:b w:val="0"/>
          <w:sz w:val="22"/>
          <w:szCs w:val="22"/>
        </w:rPr>
        <w:t>subframe</w:t>
      </w:r>
      <w:proofErr w:type="spellEnd"/>
      <w:r>
        <w:rPr>
          <w:b w:val="0"/>
          <w:sz w:val="22"/>
          <w:szCs w:val="22"/>
        </w:rPr>
        <w:t xml:space="preserve"> (due to coding rate greater than 1), but after the first retransmission the QPSK performance is better than that of 16-QAM. This table entry is especially selected to meet the TBS needed for codec AMR-WB 12.65k [1].</w:t>
      </w:r>
    </w:p>
    <w:p w14:paraId="2B7E45F1" w14:textId="77777777" w:rsidR="006E0950" w:rsidRDefault="006E0950" w:rsidP="006E0950">
      <w:pPr>
        <w:pStyle w:val="LGTdoc1"/>
        <w:spacing w:beforeLines="0" w:before="120" w:after="220" w:afterAutospacing="0"/>
        <w:rPr>
          <w:b w:val="0"/>
          <w:sz w:val="22"/>
          <w:szCs w:val="22"/>
        </w:rPr>
      </w:pPr>
    </w:p>
    <w:p w14:paraId="78AC4F03" w14:textId="77777777" w:rsidR="006E0950" w:rsidRDefault="006E0950" w:rsidP="006E0950">
      <w:pPr>
        <w:pStyle w:val="LGTdoc1"/>
        <w:keepNext/>
        <w:spacing w:beforeLines="0" w:before="120" w:after="220" w:afterAutospacing="0"/>
        <w:jc w:val="center"/>
      </w:pPr>
      <w:r>
        <w:rPr>
          <w:b w:val="0"/>
          <w:noProof/>
          <w:snapToGrid/>
          <w:sz w:val="22"/>
          <w:szCs w:val="22"/>
          <w:lang w:val="en-US" w:eastAsia="ja-JP"/>
        </w:rPr>
        <mc:AlternateContent>
          <mc:Choice Requires="wps">
            <w:drawing>
              <wp:anchor distT="0" distB="0" distL="114300" distR="114300" simplePos="0" relativeHeight="251659264" behindDoc="0" locked="0" layoutInCell="1" allowOverlap="1" wp14:anchorId="3B45C278" wp14:editId="2B2FB77A">
                <wp:simplePos x="0" y="0"/>
                <wp:positionH relativeFrom="column">
                  <wp:posOffset>2294147</wp:posOffset>
                </wp:positionH>
                <wp:positionV relativeFrom="paragraph">
                  <wp:posOffset>1369372</wp:posOffset>
                </wp:positionV>
                <wp:extent cx="362310" cy="163901"/>
                <wp:effectExtent l="19050" t="19050" r="19050" b="26670"/>
                <wp:wrapNone/>
                <wp:docPr id="1" name="Rectangle 1"/>
                <wp:cNvGraphicFramePr/>
                <a:graphic xmlns:a="http://schemas.openxmlformats.org/drawingml/2006/main">
                  <a:graphicData uri="http://schemas.microsoft.com/office/word/2010/wordprocessingShape">
                    <wps:wsp>
                      <wps:cNvSpPr/>
                      <wps:spPr>
                        <a:xfrm>
                          <a:off x="0" y="0"/>
                          <a:ext cx="362310" cy="16390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F0FA4C" id="Rectangle 1" o:spid="_x0000_s1026" style="position:absolute;margin-left:180.65pt;margin-top:107.8pt;width:28.55pt;height:12.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" filled="f" strokecolor="red" strokeweight="2.25pt"/>
            </w:pict>
          </mc:Fallback>
        </mc:AlternateContent>
      </w:r>
      <w:r w:rsidRPr="006E0950">
        <w:rPr>
          <w:b w:val="0"/>
          <w:noProof/>
          <w:sz w:val="22"/>
          <w:szCs w:val="22"/>
          <w:lang w:val="en-US" w:eastAsia="ja-JP"/>
        </w:rPr>
        <w:drawing>
          <wp:inline distT="0" distB="0" distL="0" distR="0" wp14:anchorId="2C11BB8F" wp14:editId="55C723A6">
            <wp:extent cx="2657475" cy="2447925"/>
            <wp:effectExtent l="0" t="0" r="9525"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4"/>
                    <a:srcRect t="-1" r="55343" b="48411"/>
                    <a:stretch/>
                  </pic:blipFill>
                  <pic:spPr bwMode="auto">
                    <a:xfrm>
                      <a:off x="0" y="0"/>
                      <a:ext cx="2657677" cy="2448111"/>
                    </a:xfrm>
                    <a:prstGeom prst="rect">
                      <a:avLst/>
                    </a:prstGeom>
                    <a:ln>
                      <a:noFill/>
                    </a:ln>
                    <a:extLst>
                      <a:ext uri="{53640926-AAD7-44D8-BBD7-CCE9431645EC}">
                        <a14:shadowObscured xmlns:a14="http://schemas.microsoft.com/office/drawing/2010/main"/>
                      </a:ext>
                    </a:extLst>
                  </pic:spPr>
                </pic:pic>
              </a:graphicData>
            </a:graphic>
          </wp:inline>
        </w:drawing>
      </w:r>
    </w:p>
    <w:p w14:paraId="2A52BEB5" w14:textId="74E41A0A" w:rsidR="006E0950" w:rsidRPr="006E0950" w:rsidRDefault="006E0950" w:rsidP="006E0950">
      <w:pPr>
        <w:pStyle w:val="Caption"/>
        <w:jc w:val="center"/>
        <w:rPr>
          <w:lang w:val="en-US"/>
        </w:rPr>
      </w:pPr>
      <w:r>
        <w:t xml:space="preserve">Figure </w:t>
      </w:r>
      <w:r>
        <w:fldChar w:fldCharType="begin"/>
      </w:r>
      <w:r>
        <w:instrText xml:space="preserve"> SEQ Figure \* ARABIC </w:instrText>
      </w:r>
      <w:r>
        <w:fldChar w:fldCharType="separate"/>
      </w:r>
      <w:r w:rsidR="001F7D5B">
        <w:rPr>
          <w:noProof/>
        </w:rPr>
        <w:t>1</w:t>
      </w:r>
      <w:r>
        <w:fldChar w:fldCharType="end"/>
      </w:r>
      <w:r>
        <w:t xml:space="preserve"> TBS table with special entry for 328, corresponding to rate </w:t>
      </w:r>
      <w:r>
        <w:rPr>
          <w:lang w:val="en-US"/>
        </w:rPr>
        <w:t>12.65k</w:t>
      </w:r>
    </w:p>
    <w:p w14:paraId="4221C2D9" w14:textId="2956ADD3" w:rsidR="006E0950" w:rsidRPr="006E0950" w:rsidRDefault="006E0950" w:rsidP="006E0950">
      <w:pPr>
        <w:pStyle w:val="Caption"/>
        <w:jc w:val="center"/>
        <w:rPr>
          <w:b w:val="0"/>
          <w:sz w:val="22"/>
          <w:szCs w:val="22"/>
          <w:lang w:val="en-US"/>
        </w:rPr>
      </w:pPr>
    </w:p>
    <w:p w14:paraId="243CD321" w14:textId="3589C7EA" w:rsidR="006E0950" w:rsidRDefault="001F7D5B" w:rsidP="006E0950">
      <w:pPr>
        <w:pStyle w:val="LGTdoc1"/>
        <w:spacing w:beforeLines="0" w:before="120" w:after="220" w:afterAutospacing="0"/>
        <w:rPr>
          <w:b w:val="0"/>
          <w:sz w:val="22"/>
          <w:szCs w:val="22"/>
        </w:rPr>
      </w:pPr>
      <w:r>
        <w:rPr>
          <w:b w:val="0"/>
          <w:sz w:val="22"/>
          <w:szCs w:val="22"/>
        </w:rPr>
        <w:t xml:space="preserve">Other codec modes, however, are not optimized for. For example, in Table 1 we show the TBS that should be used for different AMR modes, adjusted to available TBS sizes. For example, if we have a UE transmitting PUSCH with AMR 4,75k (TBS of 208), in the current TBS table it would need to </w:t>
      </w:r>
      <w:proofErr w:type="gramStart"/>
      <w:r>
        <w:rPr>
          <w:b w:val="0"/>
          <w:sz w:val="22"/>
          <w:szCs w:val="22"/>
        </w:rPr>
        <w:t xml:space="preserve">use </w:t>
      </w:r>
      <w:proofErr w:type="gramEnd"/>
      <m:oMath>
        <m:sSub>
          <m:sSubPr>
            <m:ctrlPr>
              <w:rPr>
                <w:rFonts w:ascii="Cambria Math" w:hAnsi="Cambria Math"/>
                <w:b w:val="0"/>
                <w:i/>
                <w:sz w:val="22"/>
                <w:szCs w:val="22"/>
              </w:rPr>
            </m:ctrlPr>
          </m:sSubPr>
          <m:e>
            <m:r>
              <m:rPr>
                <m:sty m:val="bi"/>
              </m:rPr>
              <w:rPr>
                <w:rFonts w:ascii="Cambria Math" w:hAnsi="Cambria Math"/>
                <w:sz w:val="22"/>
                <w:szCs w:val="22"/>
              </w:rPr>
              <m:t>I</m:t>
            </m:r>
          </m:e>
          <m:sub>
            <m:r>
              <m:rPr>
                <m:sty m:val="bi"/>
              </m:rPr>
              <w:rPr>
                <w:rFonts w:ascii="Cambria Math" w:hAnsi="Cambria Math"/>
                <w:sz w:val="22"/>
                <w:szCs w:val="22"/>
              </w:rPr>
              <m:t>TBS</m:t>
            </m:r>
          </m:sub>
        </m:sSub>
        <m:r>
          <m:rPr>
            <m:sty m:val="bi"/>
          </m:rPr>
          <w:rPr>
            <w:rFonts w:ascii="Cambria Math" w:hAnsi="Cambria Math"/>
            <w:sz w:val="22"/>
            <w:szCs w:val="22"/>
          </w:rPr>
          <m:t>=12</m:t>
        </m:r>
      </m:oMath>
      <w:r>
        <w:rPr>
          <w:b w:val="0"/>
          <w:sz w:val="22"/>
          <w:szCs w:val="22"/>
        </w:rPr>
        <w:t xml:space="preserve">, which requires 16-QAM. </w:t>
      </w:r>
    </w:p>
    <w:p w14:paraId="7FB8540D" w14:textId="5790C8BA" w:rsidR="001F7D5B" w:rsidRDefault="001F7D5B" w:rsidP="001F7D5B">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Transport block s</w:t>
      </w:r>
      <w:r w:rsidR="00883AC3">
        <w:t>izes for different codec rates</w:t>
      </w:r>
    </w:p>
    <w:tbl>
      <w:tblPr>
        <w:tblStyle w:val="GridTable4-Accent1"/>
        <w:tblW w:w="6385" w:type="dxa"/>
        <w:jc w:val="center"/>
        <w:tblLook w:val="0620" w:firstRow="1" w:lastRow="0" w:firstColumn="0" w:lastColumn="0" w:noHBand="1" w:noVBand="1"/>
      </w:tblPr>
      <w:tblGrid>
        <w:gridCol w:w="4045"/>
        <w:gridCol w:w="2340"/>
      </w:tblGrid>
      <w:tr w:rsidR="00883AC3" w:rsidRPr="001F7D5B" w14:paraId="087E098F" w14:textId="77777777" w:rsidTr="00883AC3">
        <w:trPr>
          <w:cnfStyle w:val="100000000000" w:firstRow="1" w:lastRow="0" w:firstColumn="0" w:lastColumn="0" w:oddVBand="0" w:evenVBand="0" w:oddHBand="0" w:evenHBand="0" w:firstRowFirstColumn="0" w:firstRowLastColumn="0" w:lastRowFirstColumn="0" w:lastRowLastColumn="0"/>
          <w:trHeight w:val="1305"/>
          <w:jc w:val="center"/>
        </w:trPr>
        <w:tc>
          <w:tcPr>
            <w:tcW w:w="4045" w:type="dxa"/>
            <w:hideMark/>
          </w:tcPr>
          <w:p w14:paraId="1C7AFA6F" w14:textId="77777777" w:rsidR="00883AC3" w:rsidRPr="001F7D5B" w:rsidRDefault="00883AC3" w:rsidP="001F7D5B">
            <w:pPr>
              <w:pStyle w:val="LGTdoc1"/>
              <w:spacing w:before="120" w:after="220"/>
              <w:rPr>
                <w:rFonts w:ascii="Arial" w:hAnsi="Arial" w:cs="Arial"/>
                <w:b/>
                <w:sz w:val="22"/>
                <w:szCs w:val="22"/>
              </w:rPr>
            </w:pPr>
            <w:r w:rsidRPr="001F7D5B">
              <w:rPr>
                <w:rFonts w:ascii="Arial" w:hAnsi="Arial" w:cs="Arial"/>
                <w:b/>
                <w:sz w:val="22"/>
                <w:szCs w:val="22"/>
                <w:lang w:val="fr-FR"/>
              </w:rPr>
              <w:t xml:space="preserve">Frame content (AMR mode, </w:t>
            </w:r>
            <w:proofErr w:type="spellStart"/>
            <w:r w:rsidRPr="001F7D5B">
              <w:rPr>
                <w:rFonts w:ascii="Arial" w:hAnsi="Arial" w:cs="Arial"/>
                <w:b/>
                <w:sz w:val="22"/>
                <w:szCs w:val="22"/>
                <w:lang w:val="fr-FR"/>
              </w:rPr>
              <w:t>comfort</w:t>
            </w:r>
            <w:proofErr w:type="spellEnd"/>
            <w:r w:rsidRPr="001F7D5B">
              <w:rPr>
                <w:rFonts w:ascii="Arial" w:hAnsi="Arial" w:cs="Arial"/>
                <w:b/>
                <w:sz w:val="22"/>
                <w:szCs w:val="22"/>
                <w:lang w:val="fr-FR"/>
              </w:rPr>
              <w:t xml:space="preserve"> noise, or </w:t>
            </w:r>
            <w:proofErr w:type="spellStart"/>
            <w:r w:rsidRPr="001F7D5B">
              <w:rPr>
                <w:rFonts w:ascii="Arial" w:hAnsi="Arial" w:cs="Arial"/>
                <w:b/>
                <w:sz w:val="22"/>
                <w:szCs w:val="22"/>
                <w:lang w:val="fr-FR"/>
              </w:rPr>
              <w:t>other</w:t>
            </w:r>
            <w:proofErr w:type="spellEnd"/>
            <w:r w:rsidRPr="001F7D5B">
              <w:rPr>
                <w:rFonts w:ascii="Arial" w:hAnsi="Arial" w:cs="Arial"/>
                <w:b/>
                <w:sz w:val="22"/>
                <w:szCs w:val="22"/>
                <w:lang w:val="fr-FR"/>
              </w:rPr>
              <w:t>)</w:t>
            </w:r>
          </w:p>
        </w:tc>
        <w:tc>
          <w:tcPr>
            <w:tcW w:w="2340" w:type="dxa"/>
            <w:hideMark/>
          </w:tcPr>
          <w:p w14:paraId="34E62D45" w14:textId="77777777" w:rsidR="00883AC3" w:rsidRPr="001F7D5B" w:rsidRDefault="00883AC3" w:rsidP="001F7D5B">
            <w:pPr>
              <w:pStyle w:val="LGTdoc1"/>
              <w:spacing w:before="120" w:after="220"/>
              <w:rPr>
                <w:rFonts w:ascii="Arial" w:hAnsi="Arial" w:cs="Arial"/>
                <w:b/>
                <w:sz w:val="22"/>
                <w:szCs w:val="22"/>
              </w:rPr>
            </w:pPr>
            <w:r w:rsidRPr="001F7D5B">
              <w:rPr>
                <w:rFonts w:ascii="Arial" w:hAnsi="Arial" w:cs="Arial"/>
                <w:b/>
                <w:sz w:val="22"/>
                <w:szCs w:val="22"/>
              </w:rPr>
              <w:t xml:space="preserve">Size adjusted to available TBS sizes </w:t>
            </w:r>
          </w:p>
        </w:tc>
      </w:tr>
      <w:tr w:rsidR="00883AC3" w:rsidRPr="001F7D5B" w14:paraId="32A50B3B" w14:textId="77777777" w:rsidTr="00883AC3">
        <w:trPr>
          <w:trHeight w:val="310"/>
          <w:jc w:val="center"/>
        </w:trPr>
        <w:tc>
          <w:tcPr>
            <w:tcW w:w="4045" w:type="dxa"/>
            <w:hideMark/>
          </w:tcPr>
          <w:p w14:paraId="179188B9"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 4,75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4536D775"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208</w:t>
            </w:r>
          </w:p>
        </w:tc>
      </w:tr>
      <w:tr w:rsidR="00883AC3" w:rsidRPr="001F7D5B" w14:paraId="37E6CEAA" w14:textId="77777777" w:rsidTr="00883AC3">
        <w:trPr>
          <w:trHeight w:val="310"/>
          <w:jc w:val="center"/>
        </w:trPr>
        <w:tc>
          <w:tcPr>
            <w:tcW w:w="4045" w:type="dxa"/>
            <w:hideMark/>
          </w:tcPr>
          <w:p w14:paraId="00ACB286"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 5,15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7C497B38"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208</w:t>
            </w:r>
          </w:p>
        </w:tc>
      </w:tr>
      <w:tr w:rsidR="00883AC3" w:rsidRPr="001F7D5B" w14:paraId="5AB8E709" w14:textId="77777777" w:rsidTr="00883AC3">
        <w:trPr>
          <w:trHeight w:val="310"/>
          <w:jc w:val="center"/>
        </w:trPr>
        <w:tc>
          <w:tcPr>
            <w:tcW w:w="4045" w:type="dxa"/>
            <w:hideMark/>
          </w:tcPr>
          <w:p w14:paraId="2C932ADF"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 5,90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24E0820F"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208</w:t>
            </w:r>
          </w:p>
        </w:tc>
      </w:tr>
      <w:tr w:rsidR="00883AC3" w:rsidRPr="001F7D5B" w14:paraId="356360A7" w14:textId="77777777" w:rsidTr="00883AC3">
        <w:trPr>
          <w:trHeight w:val="310"/>
          <w:jc w:val="center"/>
        </w:trPr>
        <w:tc>
          <w:tcPr>
            <w:tcW w:w="4045" w:type="dxa"/>
            <w:hideMark/>
          </w:tcPr>
          <w:p w14:paraId="028420E3"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 6,70 </w:t>
            </w:r>
            <w:proofErr w:type="spellStart"/>
            <w:r w:rsidRPr="001F7D5B">
              <w:rPr>
                <w:rFonts w:ascii="Arial" w:hAnsi="Arial" w:cs="Arial"/>
                <w:sz w:val="22"/>
                <w:szCs w:val="22"/>
              </w:rPr>
              <w:t>kbit</w:t>
            </w:r>
            <w:proofErr w:type="spellEnd"/>
            <w:r w:rsidRPr="001F7D5B">
              <w:rPr>
                <w:rFonts w:ascii="Arial" w:hAnsi="Arial" w:cs="Arial"/>
                <w:sz w:val="22"/>
                <w:szCs w:val="22"/>
              </w:rPr>
              <w:t>/s (PDC-EFR)</w:t>
            </w:r>
          </w:p>
        </w:tc>
        <w:tc>
          <w:tcPr>
            <w:tcW w:w="2340" w:type="dxa"/>
            <w:hideMark/>
          </w:tcPr>
          <w:p w14:paraId="21EE4510"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224</w:t>
            </w:r>
          </w:p>
        </w:tc>
      </w:tr>
      <w:tr w:rsidR="00883AC3" w:rsidRPr="001F7D5B" w14:paraId="2A378E24" w14:textId="77777777" w:rsidTr="00883AC3">
        <w:trPr>
          <w:trHeight w:val="310"/>
          <w:jc w:val="center"/>
        </w:trPr>
        <w:tc>
          <w:tcPr>
            <w:tcW w:w="4045" w:type="dxa"/>
            <w:hideMark/>
          </w:tcPr>
          <w:p w14:paraId="407FC082"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 7,40 </w:t>
            </w:r>
            <w:proofErr w:type="spellStart"/>
            <w:r w:rsidRPr="001F7D5B">
              <w:rPr>
                <w:rFonts w:ascii="Arial" w:hAnsi="Arial" w:cs="Arial"/>
                <w:sz w:val="22"/>
                <w:szCs w:val="22"/>
              </w:rPr>
              <w:t>kbit</w:t>
            </w:r>
            <w:proofErr w:type="spellEnd"/>
            <w:r w:rsidRPr="001F7D5B">
              <w:rPr>
                <w:rFonts w:ascii="Arial" w:hAnsi="Arial" w:cs="Arial"/>
                <w:sz w:val="22"/>
                <w:szCs w:val="22"/>
              </w:rPr>
              <w:t>/s (TDMA-EFR)</w:t>
            </w:r>
          </w:p>
        </w:tc>
        <w:tc>
          <w:tcPr>
            <w:tcW w:w="2340" w:type="dxa"/>
            <w:hideMark/>
          </w:tcPr>
          <w:p w14:paraId="00090CE7"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256</w:t>
            </w:r>
          </w:p>
        </w:tc>
      </w:tr>
      <w:tr w:rsidR="00883AC3" w:rsidRPr="001F7D5B" w14:paraId="02ACBB62" w14:textId="77777777" w:rsidTr="00883AC3">
        <w:trPr>
          <w:trHeight w:val="310"/>
          <w:jc w:val="center"/>
        </w:trPr>
        <w:tc>
          <w:tcPr>
            <w:tcW w:w="4045" w:type="dxa"/>
            <w:hideMark/>
          </w:tcPr>
          <w:p w14:paraId="3054D49E"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 7,95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416D8D8F"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256</w:t>
            </w:r>
          </w:p>
        </w:tc>
      </w:tr>
      <w:tr w:rsidR="00883AC3" w:rsidRPr="001F7D5B" w14:paraId="6E4DEE49" w14:textId="77777777" w:rsidTr="00883AC3">
        <w:trPr>
          <w:trHeight w:val="310"/>
          <w:jc w:val="center"/>
        </w:trPr>
        <w:tc>
          <w:tcPr>
            <w:tcW w:w="4045" w:type="dxa"/>
            <w:hideMark/>
          </w:tcPr>
          <w:p w14:paraId="379D5214"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 10,2 </w:t>
            </w:r>
            <w:proofErr w:type="spellStart"/>
            <w:r w:rsidRPr="001F7D5B">
              <w:rPr>
                <w:rFonts w:ascii="Arial" w:hAnsi="Arial" w:cs="Arial"/>
                <w:sz w:val="22"/>
                <w:szCs w:val="22"/>
              </w:rPr>
              <w:t>kbit</w:t>
            </w:r>
            <w:proofErr w:type="spellEnd"/>
            <w:r w:rsidRPr="001F7D5B">
              <w:rPr>
                <w:rFonts w:ascii="Arial" w:hAnsi="Arial" w:cs="Arial"/>
                <w:sz w:val="22"/>
                <w:szCs w:val="22"/>
              </w:rPr>
              <w:t>/s</w:t>
            </w:r>
          </w:p>
        </w:tc>
        <w:tc>
          <w:tcPr>
            <w:tcW w:w="2340" w:type="dxa"/>
            <w:hideMark/>
          </w:tcPr>
          <w:p w14:paraId="29629AF1"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296</w:t>
            </w:r>
          </w:p>
        </w:tc>
      </w:tr>
      <w:tr w:rsidR="00883AC3" w:rsidRPr="001F7D5B" w14:paraId="635B251A" w14:textId="77777777" w:rsidTr="00883AC3">
        <w:trPr>
          <w:trHeight w:val="310"/>
          <w:jc w:val="center"/>
        </w:trPr>
        <w:tc>
          <w:tcPr>
            <w:tcW w:w="4045" w:type="dxa"/>
            <w:hideMark/>
          </w:tcPr>
          <w:p w14:paraId="3EBB5976"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AMR SID</w:t>
            </w:r>
          </w:p>
        </w:tc>
        <w:tc>
          <w:tcPr>
            <w:tcW w:w="2340" w:type="dxa"/>
            <w:hideMark/>
          </w:tcPr>
          <w:p w14:paraId="3463CFEC"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136</w:t>
            </w:r>
          </w:p>
        </w:tc>
      </w:tr>
      <w:tr w:rsidR="00883AC3" w:rsidRPr="001F7D5B" w14:paraId="6521F2B4" w14:textId="77777777" w:rsidTr="00883AC3">
        <w:trPr>
          <w:trHeight w:val="310"/>
          <w:jc w:val="center"/>
        </w:trPr>
        <w:tc>
          <w:tcPr>
            <w:tcW w:w="4045" w:type="dxa"/>
            <w:hideMark/>
          </w:tcPr>
          <w:p w14:paraId="3AAB52E7"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w:t>
            </w:r>
          </w:p>
        </w:tc>
        <w:tc>
          <w:tcPr>
            <w:tcW w:w="2340" w:type="dxa"/>
            <w:hideMark/>
          </w:tcPr>
          <w:p w14:paraId="59983671"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w:t>
            </w:r>
          </w:p>
        </w:tc>
      </w:tr>
      <w:tr w:rsidR="00883AC3" w:rsidRPr="001F7D5B" w14:paraId="49ABBCDE" w14:textId="77777777" w:rsidTr="00883AC3">
        <w:trPr>
          <w:trHeight w:val="310"/>
          <w:jc w:val="center"/>
        </w:trPr>
        <w:tc>
          <w:tcPr>
            <w:tcW w:w="4045" w:type="dxa"/>
            <w:hideMark/>
          </w:tcPr>
          <w:p w14:paraId="6268C5C5"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 xml:space="preserve">AMR-WB 6.60 </w:t>
            </w:r>
            <w:proofErr w:type="spellStart"/>
            <w:r w:rsidRPr="001F7D5B">
              <w:rPr>
                <w:rFonts w:ascii="Arial" w:hAnsi="Arial" w:cs="Arial"/>
                <w:sz w:val="22"/>
                <w:szCs w:val="22"/>
              </w:rPr>
              <w:t>kbit</w:t>
            </w:r>
            <w:proofErr w:type="spellEnd"/>
            <w:r w:rsidRPr="001F7D5B">
              <w:rPr>
                <w:rFonts w:ascii="Arial" w:hAnsi="Arial" w:cs="Arial"/>
                <w:sz w:val="22"/>
                <w:szCs w:val="22"/>
              </w:rPr>
              <w:t xml:space="preserve">/s </w:t>
            </w:r>
          </w:p>
        </w:tc>
        <w:tc>
          <w:tcPr>
            <w:tcW w:w="2340" w:type="dxa"/>
            <w:hideMark/>
          </w:tcPr>
          <w:p w14:paraId="6878035C"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208</w:t>
            </w:r>
          </w:p>
        </w:tc>
      </w:tr>
      <w:tr w:rsidR="00883AC3" w:rsidRPr="001F7D5B" w14:paraId="3C67E97B" w14:textId="77777777" w:rsidTr="00883AC3">
        <w:trPr>
          <w:trHeight w:val="545"/>
          <w:jc w:val="center"/>
        </w:trPr>
        <w:tc>
          <w:tcPr>
            <w:tcW w:w="4045" w:type="dxa"/>
            <w:hideMark/>
          </w:tcPr>
          <w:p w14:paraId="5C7970EE"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EVS 13.2 Channel Aware mode</w:t>
            </w:r>
          </w:p>
        </w:tc>
        <w:tc>
          <w:tcPr>
            <w:tcW w:w="2340" w:type="dxa"/>
            <w:hideMark/>
          </w:tcPr>
          <w:p w14:paraId="39EE43F6"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328</w:t>
            </w:r>
          </w:p>
        </w:tc>
      </w:tr>
      <w:tr w:rsidR="00883AC3" w:rsidRPr="001F7D5B" w14:paraId="6286940B" w14:textId="77777777" w:rsidTr="00883AC3">
        <w:trPr>
          <w:trHeight w:val="545"/>
          <w:jc w:val="center"/>
        </w:trPr>
        <w:tc>
          <w:tcPr>
            <w:tcW w:w="4045" w:type="dxa"/>
            <w:hideMark/>
          </w:tcPr>
          <w:p w14:paraId="7974E37B"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EVS 7.2</w:t>
            </w:r>
          </w:p>
        </w:tc>
        <w:tc>
          <w:tcPr>
            <w:tcW w:w="2340" w:type="dxa"/>
            <w:hideMark/>
          </w:tcPr>
          <w:p w14:paraId="1447D0AF" w14:textId="77777777" w:rsidR="00883AC3" w:rsidRPr="001F7D5B" w:rsidRDefault="00883AC3" w:rsidP="001F7D5B">
            <w:pPr>
              <w:pStyle w:val="LGTdoc1"/>
              <w:spacing w:before="120" w:after="220"/>
              <w:rPr>
                <w:rFonts w:ascii="Arial" w:hAnsi="Arial" w:cs="Arial"/>
                <w:sz w:val="22"/>
                <w:szCs w:val="22"/>
              </w:rPr>
            </w:pPr>
            <w:r w:rsidRPr="001F7D5B">
              <w:rPr>
                <w:rFonts w:ascii="Arial" w:hAnsi="Arial" w:cs="Arial"/>
                <w:sz w:val="22"/>
                <w:szCs w:val="22"/>
              </w:rPr>
              <w:t>208</w:t>
            </w:r>
          </w:p>
        </w:tc>
      </w:tr>
    </w:tbl>
    <w:p w14:paraId="601A2CA3" w14:textId="77777777" w:rsidR="001F7D5B" w:rsidRDefault="001F7D5B" w:rsidP="006E0950">
      <w:pPr>
        <w:pStyle w:val="LGTdoc1"/>
        <w:spacing w:beforeLines="0" w:before="120" w:after="220" w:afterAutospacing="0"/>
        <w:rPr>
          <w:b w:val="0"/>
          <w:sz w:val="22"/>
          <w:szCs w:val="22"/>
        </w:rPr>
      </w:pPr>
    </w:p>
    <w:p w14:paraId="1C5FD3EC" w14:textId="2351CB2B" w:rsidR="001F7D5B" w:rsidRPr="001F7D5B" w:rsidRDefault="001F7D5B" w:rsidP="006E0950">
      <w:pPr>
        <w:pStyle w:val="LGTdoc1"/>
        <w:spacing w:beforeLines="0" w:before="120" w:after="220" w:afterAutospacing="0"/>
        <w:rPr>
          <w:b w:val="0"/>
          <w:sz w:val="22"/>
          <w:szCs w:val="22"/>
        </w:rPr>
      </w:pPr>
      <w:r>
        <w:rPr>
          <w:b w:val="0"/>
          <w:sz w:val="22"/>
          <w:szCs w:val="22"/>
        </w:rPr>
        <w:t xml:space="preserve">In Figure 2 we show the performance different of TBS 208 for different number of repetitions when transmitted with 16-QAM or QPSK. We observe that the performance with QPSK is better than that for 16-QAM (~1dB for moderate SNR values). </w:t>
      </w:r>
    </w:p>
    <w:p w14:paraId="34803B3D" w14:textId="77777777" w:rsidR="001F7D5B" w:rsidRDefault="001F7D5B" w:rsidP="001F7D5B">
      <w:pPr>
        <w:pStyle w:val="LGTdoc1"/>
        <w:keepNext/>
        <w:spacing w:beforeLines="0" w:before="120" w:after="220" w:afterAutospacing="0"/>
        <w:jc w:val="center"/>
      </w:pPr>
      <w:r>
        <w:rPr>
          <w:rFonts w:ascii="Calibri" w:hAnsi="Calibri"/>
          <w:noProof/>
          <w:color w:val="1F497D"/>
          <w:sz w:val="22"/>
          <w:szCs w:val="22"/>
          <w:lang w:val="en-US" w:eastAsia="ja-JP"/>
        </w:rPr>
        <w:drawing>
          <wp:inline distT="0" distB="0" distL="0" distR="0" wp14:anchorId="671615F6" wp14:editId="1AE0538C">
            <wp:extent cx="4676775" cy="3513856"/>
            <wp:effectExtent l="0" t="0" r="0" b="0"/>
            <wp:docPr id="2" name="Picture 2" descr="cid:image001.png@01D26A8C.59043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26A8C.590437A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678294" cy="3514997"/>
                    </a:xfrm>
                    <a:prstGeom prst="rect">
                      <a:avLst/>
                    </a:prstGeom>
                    <a:noFill/>
                    <a:ln>
                      <a:noFill/>
                    </a:ln>
                  </pic:spPr>
                </pic:pic>
              </a:graphicData>
            </a:graphic>
          </wp:inline>
        </w:drawing>
      </w:r>
    </w:p>
    <w:p w14:paraId="01C72ECF" w14:textId="1C7C4F3E" w:rsidR="001F7D5B" w:rsidRDefault="001F7D5B" w:rsidP="001F7D5B">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Pr>
          <w:noProof/>
        </w:rPr>
        <w:t>2</w:t>
      </w:r>
      <w:r>
        <w:fldChar w:fldCharType="end"/>
      </w:r>
      <w:r>
        <w:t xml:space="preserve"> TBS 208, 1PRB QPSK (dashed) vs 16-QAM (solid) for 1</w:t>
      </w:r>
      <w:proofErr w:type="gramStart"/>
      <w:r>
        <w:t>,2,4</w:t>
      </w:r>
      <w:proofErr w:type="gramEnd"/>
      <w:r>
        <w:t>,…,32 repetitions. 2 Rx antennas, EPA5</w:t>
      </w:r>
    </w:p>
    <w:p w14:paraId="0B0F4654" w14:textId="77777777" w:rsidR="001F7D5B" w:rsidRDefault="001F7D5B" w:rsidP="006E0950">
      <w:pPr>
        <w:pStyle w:val="LGTdoc1"/>
        <w:spacing w:beforeLines="0" w:before="120" w:after="220" w:afterAutospacing="0"/>
        <w:rPr>
          <w:sz w:val="22"/>
          <w:szCs w:val="22"/>
          <w:u w:val="single"/>
        </w:rPr>
      </w:pPr>
    </w:p>
    <w:p w14:paraId="515B63A9" w14:textId="1AAC3F1B" w:rsidR="001F7D5B" w:rsidRPr="001F7D5B" w:rsidRDefault="001F7D5B" w:rsidP="006E0950">
      <w:pPr>
        <w:pStyle w:val="LGTdoc1"/>
        <w:spacing w:beforeLines="0" w:before="120" w:after="220" w:afterAutospacing="0"/>
        <w:rPr>
          <w:sz w:val="22"/>
          <w:szCs w:val="22"/>
        </w:rPr>
      </w:pPr>
      <w:r w:rsidRPr="001F7D5B">
        <w:rPr>
          <w:sz w:val="22"/>
          <w:szCs w:val="22"/>
          <w:u w:val="single"/>
        </w:rPr>
        <w:lastRenderedPageBreak/>
        <w:t>Observation 1:</w:t>
      </w:r>
      <w:r>
        <w:rPr>
          <w:sz w:val="22"/>
          <w:szCs w:val="22"/>
          <w:u w:val="single"/>
        </w:rPr>
        <w:t xml:space="preserve"> </w:t>
      </w:r>
      <w:r>
        <w:rPr>
          <w:sz w:val="22"/>
          <w:szCs w:val="22"/>
        </w:rPr>
        <w:t>For some TBS values, using QPSK instead of 16-QAM may increase performance when operating with repetitions.</w:t>
      </w:r>
    </w:p>
    <w:p w14:paraId="6409CC98" w14:textId="0B62E0B8" w:rsidR="001F7D5B" w:rsidRDefault="001F7D5B" w:rsidP="006E0950">
      <w:pPr>
        <w:pStyle w:val="LGTdoc1"/>
        <w:spacing w:beforeLines="0" w:before="120" w:after="220" w:afterAutospacing="0"/>
        <w:rPr>
          <w:b w:val="0"/>
          <w:sz w:val="22"/>
          <w:szCs w:val="22"/>
        </w:rPr>
      </w:pPr>
      <w:r w:rsidRPr="001F7D5B">
        <w:rPr>
          <w:b w:val="0"/>
          <w:sz w:val="22"/>
          <w:szCs w:val="22"/>
        </w:rPr>
        <w:t>Additionally</w:t>
      </w:r>
      <w:r>
        <w:rPr>
          <w:b w:val="0"/>
          <w:sz w:val="22"/>
          <w:szCs w:val="22"/>
        </w:rPr>
        <w:t>, the maximum power reduction (MPR) also depends on the modulation scheme. The MPR for 1 PRB QPSK is 0dB, and for 16-QAM is 1dB. This can add up an additional 1dB gain</w:t>
      </w:r>
    </w:p>
    <w:p w14:paraId="04710019" w14:textId="77777777" w:rsidR="009D48CE" w:rsidRDefault="009D48CE" w:rsidP="009D48CE">
      <w:pPr>
        <w:pStyle w:val="LGTdoc1"/>
        <w:spacing w:beforeLines="0" w:before="120" w:after="220" w:afterAutospacing="0"/>
        <w:rPr>
          <w:sz w:val="22"/>
          <w:szCs w:val="22"/>
        </w:rPr>
      </w:pPr>
      <w:r w:rsidRPr="001F7D5B">
        <w:rPr>
          <w:sz w:val="22"/>
          <w:szCs w:val="22"/>
          <w:u w:val="single"/>
        </w:rPr>
        <w:t>Observation 2:</w:t>
      </w:r>
      <w:r>
        <w:rPr>
          <w:sz w:val="22"/>
          <w:szCs w:val="22"/>
        </w:rPr>
        <w:t xml:space="preserve"> The MPR for QPSK/1PRB is 0dB, and for 16-QAM is 1dB. For the same link level performance, QPSK can provide an additional ~1dB gain over 16-QAM.</w:t>
      </w:r>
    </w:p>
    <w:p w14:paraId="1A5749F8" w14:textId="6D13A96C" w:rsidR="001F7D5B" w:rsidRDefault="001F7D5B" w:rsidP="006E0950">
      <w:pPr>
        <w:pStyle w:val="LGTdoc1"/>
        <w:spacing w:beforeLines="0" w:before="120" w:after="220" w:afterAutospacing="0"/>
        <w:rPr>
          <w:b w:val="0"/>
          <w:sz w:val="22"/>
          <w:szCs w:val="22"/>
        </w:rPr>
      </w:pPr>
      <w:r w:rsidRPr="001F7D5B">
        <w:rPr>
          <w:b w:val="0"/>
          <w:sz w:val="22"/>
          <w:szCs w:val="22"/>
        </w:rPr>
        <w:t>In vi</w:t>
      </w:r>
      <w:r>
        <w:rPr>
          <w:b w:val="0"/>
          <w:sz w:val="22"/>
          <w:szCs w:val="22"/>
        </w:rPr>
        <w:t xml:space="preserve">ew of these observations, it seems reasonable to optimize the modulation scheme used for PUSCH in </w:t>
      </w:r>
      <w:proofErr w:type="spellStart"/>
      <w:r>
        <w:rPr>
          <w:b w:val="0"/>
          <w:sz w:val="22"/>
          <w:szCs w:val="22"/>
        </w:rPr>
        <w:t>VoLTE</w:t>
      </w:r>
      <w:proofErr w:type="spellEnd"/>
      <w:r>
        <w:rPr>
          <w:b w:val="0"/>
          <w:sz w:val="22"/>
          <w:szCs w:val="22"/>
        </w:rPr>
        <w:t>. This would lead to increased capacity (for the same coverage) or increased coverage (for the same capacity) compared with a sub-optimal modulation scheme.</w:t>
      </w:r>
    </w:p>
    <w:p w14:paraId="034E4758" w14:textId="77777777" w:rsidR="001F7D5B" w:rsidRPr="001F7D5B" w:rsidRDefault="001F7D5B" w:rsidP="006E0950">
      <w:pPr>
        <w:pStyle w:val="LGTdoc1"/>
        <w:spacing w:beforeLines="0" w:before="120" w:after="220" w:afterAutospacing="0"/>
        <w:rPr>
          <w:b w:val="0"/>
          <w:sz w:val="22"/>
          <w:szCs w:val="22"/>
        </w:rPr>
      </w:pPr>
    </w:p>
    <w:p w14:paraId="38DA126B" w14:textId="7779F744" w:rsidR="006E3DE5" w:rsidRDefault="006E0950" w:rsidP="006E3DE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Proposed solution</w:t>
      </w:r>
    </w:p>
    <w:p w14:paraId="4B5C9164" w14:textId="74839C8D" w:rsidR="00371822" w:rsidRDefault="001F7D5B" w:rsidP="001F7D5B">
      <w:pPr>
        <w:pStyle w:val="LGTdoc0"/>
        <w:spacing w:before="120" w:afterLines="0" w:after="120" w:line="240" w:lineRule="auto"/>
        <w:rPr>
          <w:szCs w:val="22"/>
        </w:rPr>
      </w:pPr>
      <w:r>
        <w:rPr>
          <w:szCs w:val="22"/>
        </w:rPr>
        <w:t>The solution for modulation enhancements should meet the following requirements:</w:t>
      </w:r>
    </w:p>
    <w:p w14:paraId="455BF99C" w14:textId="2BFD66FC" w:rsidR="001F7D5B" w:rsidRPr="001F7D5B" w:rsidRDefault="001F7D5B" w:rsidP="001F7D5B">
      <w:pPr>
        <w:pStyle w:val="LGTdoc0"/>
        <w:numPr>
          <w:ilvl w:val="0"/>
          <w:numId w:val="13"/>
        </w:numPr>
        <w:spacing w:before="120" w:afterLines="0" w:after="120" w:line="240" w:lineRule="auto"/>
        <w:rPr>
          <w:b/>
          <w:szCs w:val="22"/>
          <w:u w:val="single"/>
        </w:rPr>
      </w:pPr>
      <w:r w:rsidRPr="001F7D5B">
        <w:rPr>
          <w:b/>
          <w:szCs w:val="22"/>
          <w:u w:val="single"/>
        </w:rPr>
        <w:t>Adapted to multiple codecs</w:t>
      </w:r>
      <w:r>
        <w:rPr>
          <w:b/>
          <w:szCs w:val="22"/>
          <w:u w:val="single"/>
        </w:rPr>
        <w:t xml:space="preserve"> and conditions</w:t>
      </w:r>
      <w:r w:rsidRPr="001F7D5B">
        <w:rPr>
          <w:b/>
          <w:szCs w:val="22"/>
          <w:u w:val="single"/>
        </w:rPr>
        <w:t>:</w:t>
      </w:r>
      <w:r>
        <w:rPr>
          <w:b/>
          <w:szCs w:val="22"/>
          <w:u w:val="single"/>
        </w:rPr>
        <w:t xml:space="preserve"> </w:t>
      </w:r>
      <w:r>
        <w:rPr>
          <w:szCs w:val="22"/>
        </w:rPr>
        <w:t xml:space="preserve">The PHY may not know what codec the UE is operating on at a given moment, so the solution should be codec-agnostic. Also, the TBS may change depending on the availability of </w:t>
      </w:r>
      <w:proofErr w:type="spellStart"/>
      <w:r>
        <w:rPr>
          <w:szCs w:val="22"/>
        </w:rPr>
        <w:t>RoHC</w:t>
      </w:r>
      <w:proofErr w:type="spellEnd"/>
      <w:r>
        <w:rPr>
          <w:szCs w:val="22"/>
        </w:rPr>
        <w:t>, among other factors. The flexibility of the solution should be adapted to these cases.</w:t>
      </w:r>
    </w:p>
    <w:p w14:paraId="04C3DC89" w14:textId="217A4AA6" w:rsidR="001F7D5B" w:rsidRPr="001F7D5B" w:rsidRDefault="001F7D5B" w:rsidP="001F7D5B">
      <w:pPr>
        <w:pStyle w:val="LGTdoc0"/>
        <w:numPr>
          <w:ilvl w:val="0"/>
          <w:numId w:val="13"/>
        </w:numPr>
        <w:spacing w:before="120" w:afterLines="0" w:after="120" w:line="240" w:lineRule="auto"/>
        <w:rPr>
          <w:b/>
          <w:szCs w:val="22"/>
          <w:u w:val="single"/>
        </w:rPr>
      </w:pPr>
      <w:r>
        <w:rPr>
          <w:b/>
          <w:szCs w:val="22"/>
          <w:u w:val="single"/>
        </w:rPr>
        <w:t xml:space="preserve">Forward compatible: </w:t>
      </w:r>
      <w:r>
        <w:rPr>
          <w:szCs w:val="22"/>
        </w:rPr>
        <w:t>Considering a number of codecs for which we optimize the modulation may not be forward-looking, since advances in multimedia/coding may lead to a different set of TBS in a few years. The solution should be flexible enough to allow for future codecs to be successfully deployed without a need to change the PHY/TBS parameters.</w:t>
      </w:r>
    </w:p>
    <w:p w14:paraId="3953E97C" w14:textId="77777777" w:rsidR="001F7D5B" w:rsidRDefault="001F7D5B" w:rsidP="001F7D5B">
      <w:pPr>
        <w:pStyle w:val="LGTdoc0"/>
        <w:spacing w:before="120" w:afterLines="0" w:after="120" w:line="240" w:lineRule="auto"/>
        <w:rPr>
          <w:szCs w:val="22"/>
        </w:rPr>
      </w:pPr>
      <w:r w:rsidRPr="001F7D5B">
        <w:rPr>
          <w:szCs w:val="22"/>
        </w:rPr>
        <w:t>In v</w:t>
      </w:r>
      <w:r>
        <w:rPr>
          <w:szCs w:val="22"/>
        </w:rPr>
        <w:t xml:space="preserve">iew of these two requirements, it does not seem feasible to add additional entries to the TBS table (like 328), since this would require selecting a subset of the TBS we want to optimize for, and thus is not flexible. </w:t>
      </w:r>
    </w:p>
    <w:p w14:paraId="2EE8510E" w14:textId="26EDA458" w:rsidR="001F7D5B" w:rsidRDefault="001F7D5B" w:rsidP="001F7D5B">
      <w:pPr>
        <w:pStyle w:val="LGTdoc0"/>
        <w:spacing w:before="120" w:afterLines="0" w:after="120" w:line="240" w:lineRule="auto"/>
      </w:pPr>
      <w:r>
        <w:rPr>
          <w:szCs w:val="22"/>
        </w:rPr>
        <w:t xml:space="preserve">We propose to add a field in DCI that </w:t>
      </w:r>
      <w:r>
        <w:rPr>
          <w:i/>
          <w:szCs w:val="22"/>
        </w:rPr>
        <w:t>overrides</w:t>
      </w:r>
      <w:r>
        <w:t xml:space="preserve"> the default modulation scheme. This field can be 1-bit that operates as follows:</w:t>
      </w:r>
    </w:p>
    <w:p w14:paraId="3702FFE1" w14:textId="0E02A4A7" w:rsidR="001F7D5B" w:rsidRDefault="001F7D5B" w:rsidP="001F7D5B">
      <w:pPr>
        <w:pStyle w:val="LGTdoc0"/>
        <w:numPr>
          <w:ilvl w:val="0"/>
          <w:numId w:val="13"/>
        </w:numPr>
        <w:spacing w:before="120" w:afterLines="0" w:after="120" w:line="240" w:lineRule="auto"/>
      </w:pPr>
      <w:r>
        <w:t xml:space="preserve">If the modulation order is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=2</m:t>
        </m:r>
      </m:oMath>
      <w:r>
        <w:t xml:space="preserve"> </w:t>
      </w:r>
    </w:p>
    <w:p w14:paraId="3900CC89" w14:textId="6D4B0B04" w:rsidR="001F7D5B" w:rsidRDefault="001F7D5B" w:rsidP="001F7D5B">
      <w:pPr>
        <w:pStyle w:val="LGTdoc0"/>
        <w:numPr>
          <w:ilvl w:val="1"/>
          <w:numId w:val="13"/>
        </w:numPr>
        <w:spacing w:before="120" w:afterLines="0" w:after="120" w:line="240" w:lineRule="auto"/>
      </w:pPr>
      <w:r>
        <w:t>Then the field is reserved.</w:t>
      </w:r>
    </w:p>
    <w:p w14:paraId="4B934F03" w14:textId="0791D39B" w:rsidR="001F7D5B" w:rsidRDefault="001F7D5B" w:rsidP="001F7D5B">
      <w:pPr>
        <w:pStyle w:val="LGTdoc0"/>
        <w:numPr>
          <w:ilvl w:val="0"/>
          <w:numId w:val="13"/>
        </w:numPr>
        <w:spacing w:before="120" w:afterLines="0" w:after="120" w:line="240" w:lineRule="auto"/>
      </w:pPr>
      <w:r>
        <w:t>If the modulation is greater than 2</w:t>
      </w:r>
    </w:p>
    <w:p w14:paraId="1F4A7C5E" w14:textId="1709317B" w:rsidR="001F7D5B" w:rsidRDefault="001F7D5B" w:rsidP="001F7D5B">
      <w:pPr>
        <w:pStyle w:val="LGTdoc0"/>
        <w:numPr>
          <w:ilvl w:val="1"/>
          <w:numId w:val="13"/>
        </w:numPr>
        <w:spacing w:before="120" w:afterLines="0" w:after="120" w:line="240" w:lineRule="auto"/>
      </w:pPr>
      <w:r>
        <w:t xml:space="preserve">Override the modulation order with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-2</m:t>
        </m:r>
      </m:oMath>
      <w:r>
        <w:t xml:space="preserve"> (i.e., 16-QAM </w:t>
      </w:r>
      <w:r>
        <w:sym w:font="Wingdings" w:char="F0E8"/>
      </w:r>
      <w:r>
        <w:t>QPSK, 64-QAM</w:t>
      </w:r>
      <w:r>
        <w:sym w:font="Wingdings" w:char="F0E8"/>
      </w:r>
      <w:r>
        <w:t>16-QAM)</w:t>
      </w:r>
    </w:p>
    <w:p w14:paraId="747A6888" w14:textId="015F929C" w:rsidR="001F7D5B" w:rsidRPr="001F7D5B" w:rsidRDefault="001F7D5B" w:rsidP="001F7D5B">
      <w:pPr>
        <w:pStyle w:val="LGTdoc0"/>
        <w:spacing w:before="120" w:afterLines="0" w:after="120" w:line="240" w:lineRule="auto"/>
      </w:pPr>
      <w:r>
        <w:t xml:space="preserve">This field would be present only when the UE is configured in </w:t>
      </w:r>
      <w:proofErr w:type="spellStart"/>
      <w:r>
        <w:t>VoLTE</w:t>
      </w:r>
      <w:proofErr w:type="spellEnd"/>
      <w:r>
        <w:t xml:space="preserve"> mode. Note that this optimization can be also applied to video enhancements which may require larger TBS (</w:t>
      </w:r>
      <w:proofErr w:type="spellStart"/>
      <w:r>
        <w:t>e.g</w:t>
      </w:r>
      <w:proofErr w:type="spellEnd"/>
      <w:r>
        <w:t xml:space="preserve"> reduction from 64-QAM to 16-QAM) and may benefit from reduced MPR and higher modulation efficiency when operating with repetitions.</w:t>
      </w:r>
    </w:p>
    <w:p w14:paraId="49AE57BF" w14:textId="77777777" w:rsidR="00371822" w:rsidRDefault="00371822" w:rsidP="00371822">
      <w:pPr>
        <w:pStyle w:val="LGTdoc0"/>
        <w:spacing w:before="120" w:afterLines="0" w:after="120" w:line="240" w:lineRule="auto"/>
        <w:ind w:left="792"/>
        <w:rPr>
          <w:szCs w:val="22"/>
        </w:rPr>
      </w:pPr>
    </w:p>
    <w:p w14:paraId="71C7029B" w14:textId="77777777" w:rsidR="009D48CE" w:rsidRDefault="009D48CE" w:rsidP="009D48CE">
      <w:pPr>
        <w:pStyle w:val="LGTdoc0"/>
        <w:spacing w:before="120" w:afterLines="0" w:after="120" w:line="240" w:lineRule="auto"/>
        <w:rPr>
          <w:b/>
          <w:szCs w:val="22"/>
        </w:rPr>
      </w:pPr>
      <w:r w:rsidRPr="001F7D5B">
        <w:rPr>
          <w:b/>
          <w:szCs w:val="22"/>
          <w:u w:val="single"/>
        </w:rPr>
        <w:t>Proposal:</w:t>
      </w:r>
      <w:r>
        <w:rPr>
          <w:b/>
          <w:szCs w:val="22"/>
          <w:u w:val="single"/>
        </w:rPr>
        <w:t xml:space="preserve"> </w:t>
      </w:r>
      <w:r>
        <w:rPr>
          <w:b/>
          <w:szCs w:val="22"/>
        </w:rPr>
        <w:t xml:space="preserve">When operating in the new PUSCH enhancement mode, include an additional 1-bit field in the uplink DCI to </w:t>
      </w:r>
      <w:r>
        <w:rPr>
          <w:b/>
          <w:i/>
          <w:szCs w:val="22"/>
        </w:rPr>
        <w:t xml:space="preserve">override </w:t>
      </w:r>
      <w:r>
        <w:rPr>
          <w:b/>
          <w:szCs w:val="22"/>
        </w:rPr>
        <w:t>the modulation scheme as follows:</w:t>
      </w:r>
    </w:p>
    <w:p w14:paraId="7ABBEE24" w14:textId="77777777" w:rsidR="009D48CE" w:rsidRPr="001F7D5B" w:rsidRDefault="009D48CE" w:rsidP="009D48CE">
      <w:pPr>
        <w:pStyle w:val="LGTdoc0"/>
        <w:numPr>
          <w:ilvl w:val="1"/>
          <w:numId w:val="13"/>
        </w:numPr>
        <w:spacing w:before="120" w:afterLines="0" w:after="120" w:line="240" w:lineRule="auto"/>
        <w:rPr>
          <w:b/>
          <w:szCs w:val="22"/>
        </w:rPr>
      </w:pPr>
      <w:r w:rsidRPr="001F7D5B">
        <w:rPr>
          <w:b/>
          <w:szCs w:val="22"/>
        </w:rPr>
        <w:tab/>
        <w:t xml:space="preserve">If the modulation order </w:t>
      </w:r>
      <w:proofErr w:type="gramStart"/>
      <w:r w:rsidRPr="001F7D5B">
        <w:rPr>
          <w:b/>
          <w:szCs w:val="22"/>
        </w:rPr>
        <w:t xml:space="preserve">is </w:t>
      </w:r>
      <m:oMath>
        <m:sSub>
          <m:sSubPr>
            <m:ctrlPr>
              <w:rPr>
                <w:rFonts w:ascii="Cambria Math" w:hAnsi="Cambria Math"/>
                <w:b/>
                <w:szCs w:val="22"/>
              </w:rPr>
            </m:ctrlPr>
          </m:sSubPr>
          <m:e>
            <w:proofErr w:type="gramEnd"/>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w:t>
      </w:r>
      <w:r>
        <w:rPr>
          <w:b/>
          <w:szCs w:val="22"/>
        </w:rPr>
        <w:t>, t</w:t>
      </w:r>
      <w:r w:rsidRPr="001F7D5B">
        <w:rPr>
          <w:b/>
          <w:szCs w:val="22"/>
        </w:rPr>
        <w:t>hen the field is reserved.</w:t>
      </w:r>
    </w:p>
    <w:p w14:paraId="16ABC268" w14:textId="77777777" w:rsidR="009D48CE" w:rsidRPr="001F7D5B" w:rsidRDefault="009D48CE" w:rsidP="009D48CE">
      <w:pPr>
        <w:pStyle w:val="LGTdoc0"/>
        <w:numPr>
          <w:ilvl w:val="1"/>
          <w:numId w:val="13"/>
        </w:numPr>
        <w:spacing w:before="120" w:afterLines="0" w:after="120" w:line="240" w:lineRule="auto"/>
        <w:rPr>
          <w:b/>
          <w:szCs w:val="22"/>
        </w:rPr>
      </w:pPr>
      <w:r w:rsidRPr="001F7D5B">
        <w:rPr>
          <w:b/>
          <w:szCs w:val="22"/>
        </w:rPr>
        <w:t>If the modulation is greater than 2</w:t>
      </w:r>
      <w:r>
        <w:rPr>
          <w:b/>
          <w:szCs w:val="22"/>
        </w:rPr>
        <w:t>, then o</w:t>
      </w:r>
      <w:r w:rsidRPr="001F7D5B">
        <w:rPr>
          <w:b/>
          <w:szCs w:val="22"/>
        </w:rPr>
        <w:t xml:space="preserve">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(i.e., 16-QAM </w:t>
      </w:r>
      <w:r w:rsidRPr="001F7D5B">
        <w:rPr>
          <w:b/>
          <w:szCs w:val="22"/>
        </w:rPr>
        <w:sym w:font="Wingdings" w:char="F0E8"/>
      </w:r>
      <w:r w:rsidRPr="001F7D5B">
        <w:rPr>
          <w:b/>
          <w:szCs w:val="22"/>
        </w:rPr>
        <w:t>QPSK, 64-QAM</w:t>
      </w:r>
      <w:r w:rsidRPr="001F7D5B">
        <w:rPr>
          <w:b/>
          <w:szCs w:val="22"/>
        </w:rPr>
        <w:sym w:font="Wingdings" w:char="F0E8"/>
      </w:r>
      <w:r w:rsidRPr="001F7D5B">
        <w:rPr>
          <w:b/>
          <w:szCs w:val="22"/>
        </w:rPr>
        <w:t>16-QAM)</w:t>
      </w:r>
    </w:p>
    <w:p w14:paraId="446C94CC" w14:textId="3CD5B27F" w:rsidR="001F7D5B" w:rsidRPr="001F7D5B" w:rsidRDefault="001F7D5B" w:rsidP="001F7D5B">
      <w:pPr>
        <w:pStyle w:val="LGTdoc0"/>
        <w:spacing w:before="120" w:afterLines="0" w:after="120" w:line="240" w:lineRule="auto"/>
      </w:pPr>
    </w:p>
    <w:p w14:paraId="68E98A45" w14:textId="77777777" w:rsidR="001F7D5B" w:rsidRDefault="001F7D5B" w:rsidP="001F7D5B">
      <w:pPr>
        <w:pStyle w:val="LGTdoc0"/>
        <w:spacing w:before="120" w:afterLines="0" w:after="120" w:line="240" w:lineRule="auto"/>
        <w:rPr>
          <w:b/>
          <w:szCs w:val="22"/>
          <w:u w:val="single"/>
        </w:rPr>
      </w:pPr>
    </w:p>
    <w:p w14:paraId="624307A1" w14:textId="77777777" w:rsidR="001F7D5B" w:rsidRDefault="001F7D5B" w:rsidP="001F7D5B">
      <w:pPr>
        <w:pStyle w:val="LGTdoc0"/>
        <w:spacing w:before="120" w:afterLines="0" w:after="120" w:line="240" w:lineRule="auto"/>
        <w:rPr>
          <w:b/>
          <w:szCs w:val="22"/>
          <w:u w:val="single"/>
        </w:rPr>
      </w:pPr>
    </w:p>
    <w:p w14:paraId="408885A1" w14:textId="77777777" w:rsidR="001F7D5B" w:rsidRDefault="001F7D5B" w:rsidP="001F7D5B">
      <w:pPr>
        <w:pStyle w:val="LGTdoc0"/>
        <w:spacing w:before="120" w:afterLines="0" w:after="120" w:line="240" w:lineRule="auto"/>
        <w:rPr>
          <w:b/>
          <w:szCs w:val="22"/>
          <w:u w:val="single"/>
        </w:rPr>
      </w:pPr>
    </w:p>
    <w:p w14:paraId="507B38AB" w14:textId="77777777" w:rsidR="001F7D5B" w:rsidRPr="001F7D5B" w:rsidRDefault="001F7D5B" w:rsidP="001F7D5B">
      <w:pPr>
        <w:pStyle w:val="LGTdoc0"/>
        <w:spacing w:before="120" w:afterLines="0" w:after="120" w:line="240" w:lineRule="auto"/>
        <w:rPr>
          <w:b/>
          <w:szCs w:val="22"/>
          <w:u w:val="single"/>
        </w:rPr>
      </w:pPr>
    </w:p>
    <w:p w14:paraId="39428198" w14:textId="77777777" w:rsidR="00371822" w:rsidRDefault="00371822" w:rsidP="0037182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1E482E8A" w14:textId="77777777" w:rsidR="001F7D5B" w:rsidRPr="001F7D5B" w:rsidRDefault="001F7D5B" w:rsidP="001F7D5B">
      <w:pPr>
        <w:pStyle w:val="LGTdoc1"/>
        <w:spacing w:beforeLines="0" w:before="120" w:after="220" w:afterAutospacing="0"/>
        <w:rPr>
          <w:sz w:val="22"/>
          <w:szCs w:val="22"/>
        </w:rPr>
      </w:pPr>
      <w:r w:rsidRPr="001F7D5B">
        <w:rPr>
          <w:sz w:val="22"/>
          <w:szCs w:val="22"/>
          <w:u w:val="single"/>
        </w:rPr>
        <w:t>Observation 1:</w:t>
      </w:r>
      <w:r>
        <w:rPr>
          <w:sz w:val="22"/>
          <w:szCs w:val="22"/>
          <w:u w:val="single"/>
        </w:rPr>
        <w:t xml:space="preserve"> </w:t>
      </w:r>
      <w:r>
        <w:rPr>
          <w:sz w:val="22"/>
          <w:szCs w:val="22"/>
        </w:rPr>
        <w:t>For some TBS values, using QPSK instead of 16-QAM may increase performance when operating with repetitions.</w:t>
      </w:r>
    </w:p>
    <w:p w14:paraId="51ECD810" w14:textId="4E7F2A94" w:rsidR="001F7D5B" w:rsidRDefault="001F7D5B" w:rsidP="001F7D5B">
      <w:pPr>
        <w:pStyle w:val="LGTdoc1"/>
        <w:spacing w:beforeLines="0" w:before="120" w:after="220" w:afterAutospacing="0"/>
        <w:rPr>
          <w:sz w:val="22"/>
          <w:szCs w:val="22"/>
        </w:rPr>
      </w:pPr>
      <w:r w:rsidRPr="001F7D5B">
        <w:rPr>
          <w:sz w:val="22"/>
          <w:szCs w:val="22"/>
          <w:u w:val="single"/>
        </w:rPr>
        <w:t>Observation 2:</w:t>
      </w:r>
      <w:r>
        <w:rPr>
          <w:sz w:val="22"/>
          <w:szCs w:val="22"/>
        </w:rPr>
        <w:t xml:space="preserve"> The MPR for QPSK/1PRB is 0dB, and for 16-QAM is 1dB. For the same link level performance, QPSK can </w:t>
      </w:r>
      <w:r w:rsidR="009D48CE">
        <w:rPr>
          <w:sz w:val="22"/>
          <w:szCs w:val="22"/>
        </w:rPr>
        <w:t>provide</w:t>
      </w:r>
      <w:r>
        <w:rPr>
          <w:sz w:val="22"/>
          <w:szCs w:val="22"/>
        </w:rPr>
        <w:t xml:space="preserve"> an additional ~1dB gain over 16-QAM.</w:t>
      </w:r>
    </w:p>
    <w:p w14:paraId="725A1F65" w14:textId="15655222" w:rsidR="001F7D5B" w:rsidRDefault="001F7D5B" w:rsidP="001F7D5B">
      <w:pPr>
        <w:pStyle w:val="LGTdoc0"/>
        <w:spacing w:before="120" w:afterLines="0" w:after="120" w:line="240" w:lineRule="auto"/>
        <w:rPr>
          <w:b/>
          <w:szCs w:val="22"/>
        </w:rPr>
      </w:pPr>
      <w:r w:rsidRPr="001F7D5B">
        <w:rPr>
          <w:b/>
          <w:szCs w:val="22"/>
          <w:u w:val="single"/>
        </w:rPr>
        <w:t>Proposal:</w:t>
      </w:r>
      <w:r>
        <w:rPr>
          <w:b/>
          <w:szCs w:val="22"/>
          <w:u w:val="single"/>
        </w:rPr>
        <w:t xml:space="preserve"> </w:t>
      </w:r>
      <w:r>
        <w:rPr>
          <w:b/>
          <w:szCs w:val="22"/>
        </w:rPr>
        <w:t xml:space="preserve">When operating in the new PUSCH enhancement mode, include an additional 1-bit field in the uplink DCI to </w:t>
      </w:r>
      <w:r>
        <w:rPr>
          <w:b/>
          <w:i/>
          <w:szCs w:val="22"/>
        </w:rPr>
        <w:t xml:space="preserve">override </w:t>
      </w:r>
      <w:r>
        <w:rPr>
          <w:b/>
          <w:szCs w:val="22"/>
        </w:rPr>
        <w:t>the modulation scheme as follows:</w:t>
      </w:r>
    </w:p>
    <w:p w14:paraId="06734E12" w14:textId="77777777" w:rsidR="001F7D5B" w:rsidRPr="001F7D5B" w:rsidRDefault="001F7D5B" w:rsidP="001F7D5B">
      <w:pPr>
        <w:pStyle w:val="LGTdoc0"/>
        <w:numPr>
          <w:ilvl w:val="1"/>
          <w:numId w:val="13"/>
        </w:numPr>
        <w:spacing w:before="120" w:afterLines="0" w:after="120" w:line="240" w:lineRule="auto"/>
        <w:rPr>
          <w:b/>
          <w:szCs w:val="22"/>
        </w:rPr>
      </w:pPr>
      <w:r w:rsidRPr="001F7D5B">
        <w:rPr>
          <w:b/>
          <w:szCs w:val="22"/>
        </w:rPr>
        <w:tab/>
        <w:t xml:space="preserve">If the modulation order </w:t>
      </w:r>
      <w:proofErr w:type="gramStart"/>
      <w:r w:rsidRPr="001F7D5B">
        <w:rPr>
          <w:b/>
          <w:szCs w:val="22"/>
        </w:rPr>
        <w:t xml:space="preserve">is </w:t>
      </w:r>
      <m:oMath>
        <m:sSub>
          <m:sSubPr>
            <m:ctrlPr>
              <w:rPr>
                <w:rFonts w:ascii="Cambria Math" w:hAnsi="Cambria Math"/>
                <w:b/>
                <w:szCs w:val="22"/>
              </w:rPr>
            </m:ctrlPr>
          </m:sSubPr>
          <m:e>
            <w:proofErr w:type="gramEnd"/>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w:t>
      </w:r>
      <w:r>
        <w:rPr>
          <w:b/>
          <w:szCs w:val="22"/>
        </w:rPr>
        <w:t>, t</w:t>
      </w:r>
      <w:r w:rsidRPr="001F7D5B">
        <w:rPr>
          <w:b/>
          <w:szCs w:val="22"/>
        </w:rPr>
        <w:t>hen the field is reserved.</w:t>
      </w:r>
    </w:p>
    <w:p w14:paraId="1086BD11" w14:textId="77777777" w:rsidR="001F7D5B" w:rsidRPr="001F7D5B" w:rsidRDefault="001F7D5B" w:rsidP="001F7D5B">
      <w:pPr>
        <w:pStyle w:val="LGTdoc0"/>
        <w:numPr>
          <w:ilvl w:val="1"/>
          <w:numId w:val="13"/>
        </w:numPr>
        <w:spacing w:before="120" w:afterLines="0" w:after="120" w:line="240" w:lineRule="auto"/>
        <w:rPr>
          <w:b/>
          <w:szCs w:val="22"/>
        </w:rPr>
      </w:pPr>
      <w:r w:rsidRPr="001F7D5B">
        <w:rPr>
          <w:b/>
          <w:szCs w:val="22"/>
        </w:rPr>
        <w:t>If the modulation is greater than 2</w:t>
      </w:r>
      <w:r>
        <w:rPr>
          <w:b/>
          <w:szCs w:val="22"/>
        </w:rPr>
        <w:t>, then o</w:t>
      </w:r>
      <w:r w:rsidRPr="001F7D5B">
        <w:rPr>
          <w:b/>
          <w:szCs w:val="22"/>
        </w:rPr>
        <w:t xml:space="preserve">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1F7D5B">
        <w:rPr>
          <w:b/>
          <w:szCs w:val="22"/>
        </w:rPr>
        <w:t xml:space="preserve"> (i.e., 16-QAM </w:t>
      </w:r>
      <w:r w:rsidRPr="001F7D5B">
        <w:rPr>
          <w:b/>
          <w:szCs w:val="22"/>
        </w:rPr>
        <w:sym w:font="Wingdings" w:char="F0E8"/>
      </w:r>
      <w:r w:rsidRPr="001F7D5B">
        <w:rPr>
          <w:b/>
          <w:szCs w:val="22"/>
        </w:rPr>
        <w:t>QPSK, 64-QAM</w:t>
      </w:r>
      <w:r w:rsidRPr="001F7D5B">
        <w:rPr>
          <w:b/>
          <w:szCs w:val="22"/>
        </w:rPr>
        <w:sym w:font="Wingdings" w:char="F0E8"/>
      </w:r>
      <w:r w:rsidRPr="001F7D5B">
        <w:rPr>
          <w:b/>
          <w:szCs w:val="22"/>
        </w:rPr>
        <w:t>16-QAM)</w:t>
      </w:r>
    </w:p>
    <w:p w14:paraId="41400EEE" w14:textId="77777777" w:rsidR="00A17138" w:rsidRPr="006674CC" w:rsidRDefault="00A17138" w:rsidP="00E77804">
      <w:pPr>
        <w:pStyle w:val="LGTdoc1"/>
        <w:spacing w:beforeLines="0" w:before="120" w:after="220" w:afterAutospacing="0"/>
        <w:rPr>
          <w:b w:val="0"/>
          <w:sz w:val="22"/>
          <w:szCs w:val="22"/>
        </w:rPr>
      </w:pPr>
    </w:p>
    <w:sectPr w:rsidR="00A17138" w:rsidRPr="006674CC"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6EDE8" w14:textId="77777777" w:rsidR="009B76B9" w:rsidRDefault="009B76B9">
      <w:r>
        <w:separator/>
      </w:r>
    </w:p>
  </w:endnote>
  <w:endnote w:type="continuationSeparator" w:id="0">
    <w:p w14:paraId="45FF5DA5" w14:textId="77777777" w:rsidR="009B76B9" w:rsidRDefault="009B76B9">
      <w:r>
        <w:continuationSeparator/>
      </w:r>
    </w:p>
  </w:endnote>
  <w:endnote w:type="continuationNotice" w:id="1">
    <w:p w14:paraId="6D8122AB" w14:textId="77777777" w:rsidR="009B76B9" w:rsidRDefault="009B7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63A4">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D44F9" w14:textId="77777777" w:rsidR="009B76B9" w:rsidRDefault="009B76B9">
      <w:r>
        <w:separator/>
      </w:r>
    </w:p>
  </w:footnote>
  <w:footnote w:type="continuationSeparator" w:id="0">
    <w:p w14:paraId="4571C062" w14:textId="77777777" w:rsidR="009B76B9" w:rsidRDefault="009B76B9">
      <w:r>
        <w:continuationSeparator/>
      </w:r>
    </w:p>
  </w:footnote>
  <w:footnote w:type="continuationNotice" w:id="1">
    <w:p w14:paraId="49791D42" w14:textId="77777777" w:rsidR="009B76B9" w:rsidRDefault="009B76B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1"/>
  </w:num>
  <w:num w:numId="5">
    <w:abstractNumId w:val="12"/>
  </w:num>
  <w:num w:numId="6">
    <w:abstractNumId w:val="4"/>
  </w:num>
  <w:num w:numId="7">
    <w:abstractNumId w:val="5"/>
  </w:num>
  <w:num w:numId="8">
    <w:abstractNumId w:val="1"/>
  </w:num>
  <w:num w:numId="9">
    <w:abstractNumId w:val="9"/>
  </w:num>
  <w:num w:numId="10">
    <w:abstractNumId w:val="8"/>
  </w:num>
  <w:num w:numId="11">
    <w:abstractNumId w:val="6"/>
  </w:num>
  <w:num w:numId="12">
    <w:abstractNumId w:val="0"/>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3A4"/>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0E9"/>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6B9"/>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5CFF"/>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6167555">
      <w:bodyDiv w:val="1"/>
      <w:marLeft w:val="0"/>
      <w:marRight w:val="0"/>
      <w:marTop w:val="0"/>
      <w:marBottom w:val="0"/>
      <w:divBdr>
        <w:top w:val="none" w:sz="0" w:space="0" w:color="auto"/>
        <w:left w:val="none" w:sz="0" w:space="0" w:color="auto"/>
        <w:bottom w:val="none" w:sz="0" w:space="0" w:color="auto"/>
        <w:right w:val="none" w:sz="0" w:space="0" w:color="auto"/>
      </w:divBdr>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1.png@01D26A8C.590437A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3D1A9FD2-84D5-432F-AE1A-3339DBDB1914}">
  <ds:schemaRefs>
    <ds:schemaRef ds:uri="http://schemas.openxmlformats.org/officeDocument/2006/bibliography"/>
  </ds:schemaRefs>
</ds:datastoreItem>
</file>

<file path=customXml/itemProps7.xml><?xml version="1.0" encoding="utf-8"?>
<ds:datastoreItem xmlns:ds="http://schemas.openxmlformats.org/officeDocument/2006/customXml" ds:itemID="{40C824C5-27A0-40DC-9674-7FB28FB9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4</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18</cp:revision>
  <cp:lastPrinted>2010-08-13T21:54:00Z</cp:lastPrinted>
  <dcterms:created xsi:type="dcterms:W3CDTF">2016-05-12T16:02:00Z</dcterms:created>
  <dcterms:modified xsi:type="dcterms:W3CDTF">2017-02-04T05:00:00Z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